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EE7DF" w14:textId="77777777" w:rsidR="00D87417" w:rsidRPr="00D87417" w:rsidRDefault="00D87417" w:rsidP="00D87417">
      <w:pPr>
        <w:spacing w:after="0" w:line="240" w:lineRule="auto"/>
        <w:ind w:left="0" w:firstLine="0"/>
        <w:rPr>
          <w:rFonts w:ascii="Calibri" w:eastAsia="Calibri" w:hAnsi="Calibri" w:cs="Calibri"/>
        </w:rPr>
      </w:pPr>
      <w:bookmarkStart w:id="0" w:name="_Hlk47706157"/>
      <w:r w:rsidRPr="00D87417">
        <w:rPr>
          <w:rFonts w:ascii="Calibri" w:eastAsia="Calibri" w:hAnsi="Calibri" w:cs="Calibri"/>
        </w:rPr>
        <w:t>De Duitstalige literatuur van de 19</w:t>
      </w:r>
      <w:r w:rsidRPr="00D87417">
        <w:rPr>
          <w:rFonts w:ascii="Calibri" w:eastAsia="Calibri" w:hAnsi="Calibri" w:cs="Calibri"/>
          <w:vertAlign w:val="superscript"/>
        </w:rPr>
        <w:t>de</w:t>
      </w:r>
      <w:r w:rsidRPr="00D87417">
        <w:rPr>
          <w:rFonts w:ascii="Calibri" w:eastAsia="Calibri" w:hAnsi="Calibri" w:cs="Calibri"/>
        </w:rPr>
        <w:t xml:space="preserve"> eeuw kent vele grote namen. Het was een roerige tijd: vele revoluties en de opkomst van het socialisme.</w:t>
      </w:r>
    </w:p>
    <w:p w14:paraId="5702261C"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 xml:space="preserve">Een van degenen die daarbij betrokken was, is Heinrich Heine (1797-1856) geboren in Düsseldorf. Hij had diverse banen in bedrijven van familie, maar was hiervoor niet geschikt. </w:t>
      </w:r>
    </w:p>
    <w:p w14:paraId="087CE0AF"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Heine studeerde rechten, maar heeft niet als jurist gewerkt. Wel werkte hij als journalist.</w:t>
      </w:r>
    </w:p>
    <w:p w14:paraId="39C44B41"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 xml:space="preserve">Later kreeg hij een jaargeld van zijn welgestelde oom Salomon. </w:t>
      </w:r>
    </w:p>
    <w:p w14:paraId="3A87C080"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 xml:space="preserve">Hij was bevriend met Karl Marx en had vooruitstrevende ideeën. Dit en zijn joods-zijn, maakte hem een omstreden figuur. Een van de personen die hem antisemitisch bejegende was de dichter </w:t>
      </w:r>
      <w:proofErr w:type="spellStart"/>
      <w:r w:rsidRPr="00D87417">
        <w:rPr>
          <w:rFonts w:ascii="Calibri" w:eastAsia="Calibri" w:hAnsi="Calibri" w:cs="Calibri"/>
        </w:rPr>
        <w:t>von</w:t>
      </w:r>
      <w:proofErr w:type="spellEnd"/>
      <w:r w:rsidRPr="00D87417">
        <w:rPr>
          <w:rFonts w:ascii="Calibri" w:eastAsia="Calibri" w:hAnsi="Calibri" w:cs="Calibri"/>
        </w:rPr>
        <w:t xml:space="preserve"> Platen (1796-1835). Op zijn beurt maakte Heine de homoseksualiteit van eerstgenoemde </w:t>
      </w:r>
      <w:hyperlink r:id="rId6" w:history="1">
        <w:r w:rsidRPr="00D87417">
          <w:rPr>
            <w:rFonts w:ascii="Calibri" w:eastAsia="Calibri" w:hAnsi="Calibri" w:cs="Calibri"/>
            <w:color w:val="1F4E79"/>
            <w:u w:val="single"/>
          </w:rPr>
          <w:t>bekend</w:t>
        </w:r>
      </w:hyperlink>
      <w:r w:rsidRPr="00D87417">
        <w:rPr>
          <w:rFonts w:ascii="Calibri" w:eastAsia="Calibri" w:hAnsi="Calibri" w:cs="Calibri"/>
        </w:rPr>
        <w:t xml:space="preserve">. Deze moest om schandaal te voorkomen, vluchten en ging in Italië wonen, Heine ging in Paris in ballingschap waar hij stierf. </w:t>
      </w:r>
    </w:p>
    <w:p w14:paraId="04F0B7B5"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Op zijn sterfbed zou hij gezegd hebben: “</w:t>
      </w:r>
      <w:proofErr w:type="spellStart"/>
      <w:r w:rsidRPr="00D87417">
        <w:rPr>
          <w:rFonts w:ascii="Calibri" w:eastAsia="Calibri" w:hAnsi="Calibri" w:cs="Calibri"/>
        </w:rPr>
        <w:t>Dieu</w:t>
      </w:r>
      <w:proofErr w:type="spellEnd"/>
      <w:r w:rsidRPr="00D87417">
        <w:rPr>
          <w:rFonts w:ascii="Calibri" w:eastAsia="Calibri" w:hAnsi="Calibri" w:cs="Calibri"/>
        </w:rPr>
        <w:t xml:space="preserve"> me </w:t>
      </w:r>
      <w:proofErr w:type="spellStart"/>
      <w:r w:rsidRPr="00D87417">
        <w:rPr>
          <w:rFonts w:ascii="Calibri" w:eastAsia="Calibri" w:hAnsi="Calibri" w:cs="Calibri"/>
        </w:rPr>
        <w:t>pardonnera</w:t>
      </w:r>
      <w:proofErr w:type="spellEnd"/>
      <w:r w:rsidRPr="00D87417">
        <w:rPr>
          <w:rFonts w:ascii="Calibri" w:eastAsia="Calibri" w:hAnsi="Calibri" w:cs="Calibri"/>
        </w:rPr>
        <w:t xml:space="preserve">, </w:t>
      </w:r>
      <w:proofErr w:type="spellStart"/>
      <w:r w:rsidRPr="00D87417">
        <w:rPr>
          <w:rFonts w:ascii="Calibri" w:eastAsia="Calibri" w:hAnsi="Calibri" w:cs="Calibri"/>
        </w:rPr>
        <w:t>c’est</w:t>
      </w:r>
      <w:proofErr w:type="spellEnd"/>
      <w:r w:rsidRPr="00D87417">
        <w:rPr>
          <w:rFonts w:ascii="Calibri" w:eastAsia="Calibri" w:hAnsi="Calibri" w:cs="Calibri"/>
        </w:rPr>
        <w:t xml:space="preserve"> </w:t>
      </w:r>
      <w:proofErr w:type="spellStart"/>
      <w:r w:rsidRPr="00D87417">
        <w:rPr>
          <w:rFonts w:ascii="Calibri" w:eastAsia="Calibri" w:hAnsi="Calibri" w:cs="Calibri"/>
        </w:rPr>
        <w:t>son</w:t>
      </w:r>
      <w:proofErr w:type="spellEnd"/>
      <w:r w:rsidRPr="00D87417">
        <w:rPr>
          <w:rFonts w:ascii="Calibri" w:eastAsia="Calibri" w:hAnsi="Calibri" w:cs="Calibri"/>
        </w:rPr>
        <w:t xml:space="preserve"> métier”</w:t>
      </w:r>
      <w:r w:rsidRPr="00D87417">
        <w:rPr>
          <w:rFonts w:ascii="Calibri" w:eastAsia="Calibri" w:hAnsi="Calibri" w:cs="Calibri"/>
          <w:vertAlign w:val="superscript"/>
        </w:rPr>
        <w:footnoteReference w:id="1"/>
      </w:r>
    </w:p>
    <w:p w14:paraId="21C45FFD"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 xml:space="preserve">Een van zijn bekendste uitspraken is: “wo man </w:t>
      </w:r>
      <w:proofErr w:type="spellStart"/>
      <w:r w:rsidRPr="00D87417">
        <w:rPr>
          <w:rFonts w:ascii="Calibri" w:eastAsia="Calibri" w:hAnsi="Calibri" w:cs="Calibri"/>
        </w:rPr>
        <w:t>Bücher</w:t>
      </w:r>
      <w:proofErr w:type="spellEnd"/>
    </w:p>
    <w:p w14:paraId="05A34076" w14:textId="77777777" w:rsidR="00D87417" w:rsidRPr="00D87417" w:rsidRDefault="00D87417" w:rsidP="00D87417">
      <w:pPr>
        <w:spacing w:after="0" w:line="240" w:lineRule="auto"/>
        <w:ind w:left="0" w:firstLine="0"/>
        <w:rPr>
          <w:rFonts w:ascii="Calibri" w:eastAsia="Calibri" w:hAnsi="Calibri" w:cs="Calibri"/>
          <w:lang w:val="de-DE"/>
        </w:rPr>
      </w:pPr>
      <w:r w:rsidRPr="00D87417">
        <w:rPr>
          <w:rFonts w:ascii="Calibri" w:eastAsia="Calibri" w:hAnsi="Calibri" w:cs="Calibri"/>
          <w:lang w:val="de-DE"/>
        </w:rPr>
        <w:t>verbrennt, verbrennt man auch am Ende Menschen.“</w:t>
      </w:r>
      <w:r w:rsidRPr="00D87417">
        <w:rPr>
          <w:rFonts w:ascii="Calibri" w:eastAsia="Calibri" w:hAnsi="Calibri" w:cs="Calibri"/>
          <w:vertAlign w:val="superscript"/>
          <w:lang w:val="de-DE"/>
        </w:rPr>
        <w:footnoteReference w:id="2"/>
      </w:r>
    </w:p>
    <w:p w14:paraId="62EC9049"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Heine was een scherp satiricus met een helder taalgebruik. Dat komt naar voren in zijn proza waarin hij zijn politieke en filosofische denkbeelden uiteenzet.</w:t>
      </w:r>
      <w:r w:rsidRPr="00D87417">
        <w:rPr>
          <w:rFonts w:ascii="Calibri" w:eastAsia="Calibri" w:hAnsi="Calibri" w:cs="Calibri"/>
          <w:vertAlign w:val="superscript"/>
        </w:rPr>
        <w:footnoteReference w:id="3"/>
      </w:r>
    </w:p>
    <w:p w14:paraId="28681ACF"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 xml:space="preserve">Ook zijn poëzie is in het algemeen helder geformuleerd met verse onderwerpen: politiek, satire, maar ook de liefde zoals hier. </w:t>
      </w:r>
    </w:p>
    <w:p w14:paraId="3CD94C51"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Of het gedicht dat de afwijzing door een geliefde beschrijft en het daaruit voorkomende liefdesverdriet, gebaseerd is op een persoonlijke ervaring van Heine is niet bekend. Het slot van het gedicht geeft aan dat eenieder dit overkomt en wij niet leren van het verdriet dat wij van anderen zien, maar ons allen ons eigen verdriet overkomt.</w:t>
      </w:r>
    </w:p>
    <w:p w14:paraId="7751A673"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 xml:space="preserve">Het is op </w:t>
      </w:r>
      <w:hyperlink r:id="rId7" w:history="1">
        <w:r w:rsidRPr="00D87417">
          <w:rPr>
            <w:rFonts w:ascii="Calibri" w:eastAsia="Calibri" w:hAnsi="Calibri" w:cs="Calibri"/>
            <w:color w:val="1F4E79"/>
            <w:u w:val="single"/>
          </w:rPr>
          <w:t>muziek gezet</w:t>
        </w:r>
      </w:hyperlink>
      <w:r w:rsidRPr="00D87417">
        <w:rPr>
          <w:rFonts w:ascii="Calibri" w:eastAsia="Calibri" w:hAnsi="Calibri" w:cs="Calibri"/>
        </w:rPr>
        <w:t xml:space="preserve"> door Schumann.(0p. 48,11) </w:t>
      </w:r>
    </w:p>
    <w:p w14:paraId="126B809E" w14:textId="77777777" w:rsidR="00D87417" w:rsidRPr="00D87417" w:rsidRDefault="00D87417" w:rsidP="00D87417">
      <w:pPr>
        <w:spacing w:after="0" w:line="240" w:lineRule="auto"/>
        <w:ind w:left="0" w:firstLine="0"/>
        <w:rPr>
          <w:rFonts w:ascii="Calibri" w:eastAsia="Calibri" w:hAnsi="Calibri" w:cs="Calibri"/>
        </w:rPr>
      </w:pPr>
      <w:r w:rsidRPr="00D87417">
        <w:rPr>
          <w:rFonts w:ascii="Calibri" w:eastAsia="Calibri" w:hAnsi="Calibri" w:cs="Calibri"/>
        </w:rPr>
        <w:t>Het werd voor het eerst gepubliceerd in “</w:t>
      </w:r>
      <w:proofErr w:type="spellStart"/>
      <w:r w:rsidRPr="00D87417">
        <w:rPr>
          <w:rFonts w:ascii="Calibri" w:eastAsia="Calibri" w:hAnsi="Calibri" w:cs="Calibri"/>
        </w:rPr>
        <w:t>Lyrisches</w:t>
      </w:r>
      <w:proofErr w:type="spellEnd"/>
      <w:r w:rsidRPr="00D87417">
        <w:rPr>
          <w:rFonts w:ascii="Calibri" w:eastAsia="Calibri" w:hAnsi="Calibri" w:cs="Calibri"/>
        </w:rPr>
        <w:t xml:space="preserve"> Intermezzo” (1822-1823) later (1827) opgenomen in “</w:t>
      </w:r>
      <w:proofErr w:type="spellStart"/>
      <w:r w:rsidRPr="00D87417">
        <w:rPr>
          <w:rFonts w:ascii="Calibri" w:eastAsia="Calibri" w:hAnsi="Calibri" w:cs="Calibri"/>
        </w:rPr>
        <w:t>Buch</w:t>
      </w:r>
      <w:proofErr w:type="spellEnd"/>
      <w:r w:rsidRPr="00D87417">
        <w:rPr>
          <w:rFonts w:ascii="Calibri" w:eastAsia="Calibri" w:hAnsi="Calibri" w:cs="Calibri"/>
        </w:rPr>
        <w:t xml:space="preserve"> der </w:t>
      </w:r>
      <w:proofErr w:type="spellStart"/>
      <w:r w:rsidRPr="00D87417">
        <w:rPr>
          <w:rFonts w:ascii="Calibri" w:eastAsia="Calibri" w:hAnsi="Calibri" w:cs="Calibri"/>
        </w:rPr>
        <w:t>Lieder</w:t>
      </w:r>
      <w:proofErr w:type="spellEnd"/>
      <w:r w:rsidRPr="00D87417">
        <w:rPr>
          <w:rFonts w:ascii="Calibri" w:eastAsia="Calibri" w:hAnsi="Calibri" w:cs="Calibri"/>
        </w:rPr>
        <w:t xml:space="preserve">”, waarvan hier (met eigen vertaling) de tekst uit de </w:t>
      </w:r>
      <w:proofErr w:type="spellStart"/>
      <w:r w:rsidRPr="00D87417">
        <w:rPr>
          <w:rFonts w:ascii="Calibri" w:eastAsia="Calibri" w:hAnsi="Calibri" w:cs="Calibri"/>
        </w:rPr>
        <w:t>Insel</w:t>
      </w:r>
      <w:proofErr w:type="spellEnd"/>
      <w:r w:rsidRPr="00D87417">
        <w:rPr>
          <w:rFonts w:ascii="Calibri" w:eastAsia="Calibri" w:hAnsi="Calibri" w:cs="Calibri"/>
        </w:rPr>
        <w:t xml:space="preserve"> uitgave van 1926.</w:t>
      </w:r>
    </w:p>
    <w:bookmarkEnd w:id="0"/>
    <w:p w14:paraId="28B9173C" w14:textId="77777777" w:rsidR="00DF3813" w:rsidRDefault="00DF3813">
      <w:pPr>
        <w:contextualSpacing/>
      </w:pPr>
    </w:p>
    <w:p w14:paraId="7D590893" w14:textId="37821636" w:rsidR="007A6EED" w:rsidRDefault="00D87417" w:rsidP="007A6EED">
      <w:r>
        <w:rPr>
          <w:noProof/>
        </w:rPr>
        <w:drawing>
          <wp:inline distT="0" distB="0" distL="0" distR="0" wp14:anchorId="571BBF61" wp14:editId="3FB5AB86">
            <wp:extent cx="2962275" cy="2466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466975"/>
                    </a:xfrm>
                    <a:prstGeom prst="rect">
                      <a:avLst/>
                    </a:prstGeom>
                    <a:noFill/>
                    <a:ln>
                      <a:noFill/>
                    </a:ln>
                  </pic:spPr>
                </pic:pic>
              </a:graphicData>
            </a:graphic>
          </wp:inline>
        </w:drawing>
      </w:r>
    </w:p>
    <w:p w14:paraId="4AF030A7" w14:textId="3C64E24A" w:rsidR="007A6EED" w:rsidRDefault="007A6EED" w:rsidP="00E93883"/>
    <w:p w14:paraId="1E5B7EC9" w14:textId="77777777" w:rsidR="00302D38" w:rsidRPr="00302D38" w:rsidRDefault="00302D38" w:rsidP="00302D38">
      <w:pPr>
        <w:spacing w:after="0" w:line="240" w:lineRule="auto"/>
        <w:ind w:left="0" w:firstLine="0"/>
        <w:rPr>
          <w:rFonts w:ascii="Calibri" w:eastAsia="Calibri" w:hAnsi="Calibri" w:cs="Calibri"/>
          <w:lang w:val="el-GR"/>
        </w:rPr>
      </w:pPr>
    </w:p>
    <w:p w14:paraId="264C5866" w14:textId="77777777" w:rsidR="00D87417" w:rsidRDefault="00D87417" w:rsidP="00D87417">
      <w:pPr>
        <w:ind w:firstLine="720"/>
      </w:pPr>
      <w:r>
        <w:t>Een jongen houdt van een meisje,</w:t>
      </w:r>
    </w:p>
    <w:p w14:paraId="59E80F47" w14:textId="77777777" w:rsidR="00D87417" w:rsidRDefault="00D87417" w:rsidP="00D87417">
      <w:r>
        <w:t>Zij heeft een ander gekozen;</w:t>
      </w:r>
    </w:p>
    <w:p w14:paraId="369F08E9" w14:textId="77777777" w:rsidR="00D87417" w:rsidRDefault="00D87417" w:rsidP="00D87417">
      <w:r>
        <w:t>Die andere jongen houdt van een ander meisje,</w:t>
      </w:r>
    </w:p>
    <w:p w14:paraId="0E259EA0" w14:textId="77777777" w:rsidR="00D87417" w:rsidRDefault="00D87417" w:rsidP="00D87417">
      <w:r>
        <w:t>En is met haar getrouwd.</w:t>
      </w:r>
    </w:p>
    <w:p w14:paraId="54431AA5" w14:textId="77777777" w:rsidR="00D87417" w:rsidRDefault="00D87417" w:rsidP="00D87417"/>
    <w:p w14:paraId="2D620076" w14:textId="77777777" w:rsidR="00D87417" w:rsidRDefault="00D87417" w:rsidP="00D87417">
      <w:r>
        <w:tab/>
        <w:t>Het meisje trouwt uit nijd</w:t>
      </w:r>
    </w:p>
    <w:p w14:paraId="23B88483" w14:textId="77777777" w:rsidR="00D87417" w:rsidRDefault="00D87417" w:rsidP="00D87417">
      <w:r>
        <w:t>De eerste de beste man,</w:t>
      </w:r>
    </w:p>
    <w:p w14:paraId="78C060AA" w14:textId="77777777" w:rsidR="00D87417" w:rsidRDefault="00D87417" w:rsidP="00D87417">
      <w:r>
        <w:t>Die zij tegenkwam.</w:t>
      </w:r>
    </w:p>
    <w:p w14:paraId="07495A1D" w14:textId="77777777" w:rsidR="00D87417" w:rsidRDefault="00D87417" w:rsidP="00D87417">
      <w:r>
        <w:t>De jongen is er slecht aan toe.</w:t>
      </w:r>
    </w:p>
    <w:p w14:paraId="2412C3DB" w14:textId="77777777" w:rsidR="00D87417" w:rsidRDefault="00D87417" w:rsidP="00D87417"/>
    <w:p w14:paraId="7EF080AC" w14:textId="77777777" w:rsidR="00D87417" w:rsidRDefault="00D87417" w:rsidP="00D87417">
      <w:r>
        <w:tab/>
        <w:t>Het is het oude verhaal,</w:t>
      </w:r>
    </w:p>
    <w:p w14:paraId="6B8537B3" w14:textId="77777777" w:rsidR="00D87417" w:rsidRDefault="00D87417" w:rsidP="00D87417">
      <w:r>
        <w:t xml:space="preserve">Maar het blijft altijd nieuw; </w:t>
      </w:r>
    </w:p>
    <w:p w14:paraId="70B6B98C" w14:textId="77777777" w:rsidR="00D87417" w:rsidRDefault="00D87417" w:rsidP="00D87417">
      <w:r>
        <w:t>En wie het zojuist overkwam,</w:t>
      </w:r>
    </w:p>
    <w:p w14:paraId="2CF922E0" w14:textId="77777777" w:rsidR="00D87417" w:rsidRDefault="00D87417" w:rsidP="00D87417">
      <w:r>
        <w:t>Hem breekt het hart in twee.</w:t>
      </w:r>
    </w:p>
    <w:p w14:paraId="501B95AB" w14:textId="2BF91EB6" w:rsidR="00E93883" w:rsidRPr="00D87417" w:rsidRDefault="00E93883" w:rsidP="00E93883">
      <w:pPr>
        <w:pStyle w:val="Normaalweb"/>
      </w:pPr>
    </w:p>
    <w:p w14:paraId="7A4F99ED" w14:textId="77777777" w:rsidR="00E93883" w:rsidRPr="00D87417" w:rsidRDefault="00E93883" w:rsidP="00E93883"/>
    <w:sectPr w:rsidR="00E93883" w:rsidRPr="00D874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2F61" w14:textId="77777777" w:rsidR="006C0A02" w:rsidRDefault="006C0A02" w:rsidP="00DF3813">
      <w:pPr>
        <w:spacing w:after="0" w:line="240" w:lineRule="auto"/>
      </w:pPr>
      <w:r>
        <w:separator/>
      </w:r>
    </w:p>
  </w:endnote>
  <w:endnote w:type="continuationSeparator" w:id="0">
    <w:p w14:paraId="69FBD852" w14:textId="77777777" w:rsidR="006C0A02" w:rsidRDefault="006C0A02" w:rsidP="00D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1AF66" w14:textId="77777777" w:rsidR="006C0A02" w:rsidRDefault="006C0A02" w:rsidP="00DF3813">
      <w:pPr>
        <w:spacing w:after="0" w:line="240" w:lineRule="auto"/>
      </w:pPr>
      <w:r>
        <w:separator/>
      </w:r>
    </w:p>
  </w:footnote>
  <w:footnote w:type="continuationSeparator" w:id="0">
    <w:p w14:paraId="15B58DC5" w14:textId="77777777" w:rsidR="006C0A02" w:rsidRDefault="006C0A02" w:rsidP="00DF3813">
      <w:pPr>
        <w:spacing w:after="0" w:line="240" w:lineRule="auto"/>
      </w:pPr>
      <w:r>
        <w:continuationSeparator/>
      </w:r>
    </w:p>
  </w:footnote>
  <w:footnote w:id="1">
    <w:p w14:paraId="4131E42C" w14:textId="77777777" w:rsidR="00D87417" w:rsidRDefault="00D87417" w:rsidP="00D87417">
      <w:pPr>
        <w:pStyle w:val="Voetnoottekst"/>
      </w:pPr>
      <w:r>
        <w:rPr>
          <w:rStyle w:val="Voetnootmarkering"/>
        </w:rPr>
        <w:footnoteRef/>
      </w:r>
      <w:r>
        <w:t xml:space="preserve"> God zal me wel vergeven, dat is zijn werk. </w:t>
      </w:r>
    </w:p>
  </w:footnote>
  <w:footnote w:id="2">
    <w:p w14:paraId="320B3D5C" w14:textId="77777777" w:rsidR="00D87417" w:rsidRDefault="00D87417" w:rsidP="00D87417">
      <w:pPr>
        <w:pStyle w:val="Voetnoottekst"/>
        <w:rPr>
          <w:lang w:val="de-DE"/>
        </w:rPr>
      </w:pPr>
      <w:r>
        <w:rPr>
          <w:rStyle w:val="Voetnootmarkering"/>
        </w:rPr>
        <w:footnoteRef/>
      </w:r>
      <w:r>
        <w:rPr>
          <w:lang w:val="de-DE"/>
        </w:rPr>
        <w:t xml:space="preserve"> </w:t>
      </w:r>
      <w:proofErr w:type="spellStart"/>
      <w:r>
        <w:rPr>
          <w:lang w:val="de-DE"/>
        </w:rPr>
        <w:t>Volledig</w:t>
      </w:r>
      <w:proofErr w:type="spellEnd"/>
      <w:r>
        <w:rPr>
          <w:lang w:val="de-DE"/>
        </w:rPr>
        <w:t xml:space="preserve">: </w:t>
      </w:r>
    </w:p>
    <w:p w14:paraId="743DAFEF" w14:textId="77777777" w:rsidR="00D87417" w:rsidRPr="00657EEA" w:rsidRDefault="00D87417" w:rsidP="00D87417">
      <w:pPr>
        <w:pStyle w:val="Voetnoottekst"/>
      </w:pPr>
      <w:r>
        <w:rPr>
          <w:lang w:val="de-DE"/>
        </w:rPr>
        <w:t>“</w:t>
      </w:r>
      <w:r w:rsidRPr="00657EEA">
        <w:rPr>
          <w:lang w:val="de-DE"/>
        </w:rPr>
        <w:t xml:space="preserve">Das war ein Vorspiel nur, dort </w:t>
      </w:r>
      <w:r w:rsidRPr="00F3463B">
        <w:rPr>
          <w:lang w:val="de-DE"/>
        </w:rPr>
        <w:t>wo man Bücher</w:t>
      </w:r>
      <w:r w:rsidRPr="00F3463B">
        <w:rPr>
          <w:lang w:val="de-DE"/>
        </w:rPr>
        <w:br/>
        <w:t>verbrennt, verbrennt man auch am Ende Menschen.</w:t>
      </w:r>
      <w:r>
        <w:rPr>
          <w:lang w:val="de-DE"/>
        </w:rPr>
        <w:t xml:space="preserve">“ </w:t>
      </w:r>
      <w:r w:rsidRPr="00657EEA">
        <w:t>„Dat was nog maar een voorproef, daar waar men b</w:t>
      </w:r>
      <w:r>
        <w:t>oeken verbrandt, verbrandt men tenslotte ook mensen” (uit het toneelstuk “</w:t>
      </w:r>
      <w:proofErr w:type="spellStart"/>
      <w:r w:rsidRPr="003B30DC">
        <w:rPr>
          <w:i/>
          <w:iCs/>
        </w:rPr>
        <w:t>Almansor</w:t>
      </w:r>
      <w:proofErr w:type="spellEnd"/>
      <w:r>
        <w:t xml:space="preserve">”, vs. 243-244, 1821). Gezegd door de Moor Hassan naar aanleiding van de verbranding van de Koran e.a. Arabische boeken door de Spaanse overheid na de </w:t>
      </w:r>
      <w:hyperlink r:id="rId1" w:history="1">
        <w:r w:rsidRPr="003B30DC">
          <w:rPr>
            <w:rStyle w:val="Hyperlink"/>
          </w:rPr>
          <w:t>herovering van Spanje</w:t>
        </w:r>
      </w:hyperlink>
      <w:r>
        <w:t xml:space="preserve"> op de Mohammedanen. Het stuk speelt tijdens de laatste fase daarvan, de verovering van Granada.(1492) </w:t>
      </w:r>
    </w:p>
  </w:footnote>
  <w:footnote w:id="3">
    <w:p w14:paraId="7D9368E5" w14:textId="77777777" w:rsidR="00D87417" w:rsidRDefault="00D87417" w:rsidP="00D87417">
      <w:pPr>
        <w:pStyle w:val="Voetnoottekst"/>
        <w:rPr>
          <w:lang w:val="de-DE"/>
        </w:rPr>
      </w:pPr>
      <w:r>
        <w:rPr>
          <w:rStyle w:val="Voetnootmarkering"/>
        </w:rPr>
        <w:footnoteRef/>
      </w:r>
      <w:r w:rsidRPr="00F3463B">
        <w:rPr>
          <w:lang w:val="de-DE"/>
        </w:rPr>
        <w:t xml:space="preserve"> O.a. in “</w:t>
      </w:r>
      <w:r w:rsidRPr="00F3463B">
        <w:rPr>
          <w:i/>
          <w:iCs/>
          <w:lang w:val="de-DE"/>
        </w:rPr>
        <w:t xml:space="preserve">Zur Geschichte der Religion und </w:t>
      </w:r>
      <w:proofErr w:type="spellStart"/>
      <w:r w:rsidRPr="00F3463B">
        <w:rPr>
          <w:i/>
          <w:iCs/>
          <w:lang w:val="de-DE"/>
        </w:rPr>
        <w:t>Philosphie</w:t>
      </w:r>
      <w:proofErr w:type="spellEnd"/>
      <w:r w:rsidRPr="00F3463B">
        <w:rPr>
          <w:i/>
          <w:iCs/>
          <w:lang w:val="de-DE"/>
        </w:rPr>
        <w:t xml:space="preserve"> in Deutschland</w:t>
      </w:r>
      <w:r>
        <w:rPr>
          <w:i/>
          <w:iCs/>
          <w:lang w:val="de-DE"/>
        </w:rPr>
        <w:t xml:space="preserve">“ </w:t>
      </w:r>
      <w:r>
        <w:rPr>
          <w:lang w:val="de-DE"/>
        </w:rPr>
        <w:t>(1833-1834).</w:t>
      </w:r>
    </w:p>
    <w:p w14:paraId="1B2C09D0" w14:textId="77777777" w:rsidR="00D87417" w:rsidRPr="00F3463B" w:rsidRDefault="00D87417" w:rsidP="00D87417">
      <w:pPr>
        <w:pStyle w:val="Voetnoottekst"/>
        <w:rPr>
          <w:lang w:val="de-D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9"/>
    <w:rsid w:val="00206687"/>
    <w:rsid w:val="0028546C"/>
    <w:rsid w:val="00302D38"/>
    <w:rsid w:val="00346509"/>
    <w:rsid w:val="003C72F9"/>
    <w:rsid w:val="00527A60"/>
    <w:rsid w:val="005B217F"/>
    <w:rsid w:val="006C0A02"/>
    <w:rsid w:val="007A6EED"/>
    <w:rsid w:val="007F7811"/>
    <w:rsid w:val="008E3D51"/>
    <w:rsid w:val="009159AF"/>
    <w:rsid w:val="00A17903"/>
    <w:rsid w:val="00B23FAB"/>
    <w:rsid w:val="00CA497D"/>
    <w:rsid w:val="00D36FBE"/>
    <w:rsid w:val="00D87417"/>
    <w:rsid w:val="00DF3813"/>
    <w:rsid w:val="00E93883"/>
    <w:rsid w:val="00EF28D4"/>
    <w:rsid w:val="00F02A2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1FE"/>
  <w15:chartTrackingRefBased/>
  <w15:docId w15:val="{22B40D17-C31B-43D7-866D-D6358F70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2A20"/>
    <w:rPr>
      <w:color w:val="0563C1" w:themeColor="hyperlink"/>
      <w:u w:val="single"/>
    </w:rPr>
  </w:style>
  <w:style w:type="character" w:styleId="Onopgelostemelding">
    <w:name w:val="Unresolved Mention"/>
    <w:basedOn w:val="Standaardalinea-lettertype"/>
    <w:uiPriority w:val="99"/>
    <w:semiHidden/>
    <w:unhideWhenUsed/>
    <w:rsid w:val="00F02A20"/>
    <w:rPr>
      <w:color w:val="605E5C"/>
      <w:shd w:val="clear" w:color="auto" w:fill="E1DFDD"/>
    </w:rPr>
  </w:style>
  <w:style w:type="paragraph" w:styleId="Voetnoottekst">
    <w:name w:val="footnote text"/>
    <w:basedOn w:val="Standaard"/>
    <w:link w:val="VoetnoottekstChar"/>
    <w:uiPriority w:val="99"/>
    <w:semiHidden/>
    <w:unhideWhenUsed/>
    <w:rsid w:val="00DF38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813"/>
    <w:rPr>
      <w:sz w:val="20"/>
      <w:szCs w:val="20"/>
    </w:rPr>
  </w:style>
  <w:style w:type="character" w:styleId="Voetnootmarkering">
    <w:name w:val="footnote reference"/>
    <w:basedOn w:val="Standaardalinea-lettertype"/>
    <w:uiPriority w:val="99"/>
    <w:semiHidden/>
    <w:unhideWhenUsed/>
    <w:rsid w:val="00DF3813"/>
    <w:rPr>
      <w:vertAlign w:val="superscript"/>
    </w:rPr>
  </w:style>
  <w:style w:type="paragraph" w:styleId="Normaalweb">
    <w:name w:val="Normal (Web)"/>
    <w:basedOn w:val="Standaard"/>
    <w:uiPriority w:val="99"/>
    <w:semiHidden/>
    <w:unhideWhenUsed/>
    <w:rsid w:val="00E93883"/>
    <w:pPr>
      <w:spacing w:before="100" w:beforeAutospacing="1" w:after="100" w:afterAutospacing="1" w:line="240" w:lineRule="auto"/>
      <w:ind w:left="0" w:firstLine="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93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youtube.com/watch?v=T18nKWgaZz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artendoorman.nl/index.php?id=904&amp;pid=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istoriek.net/de-spaanse-reconquista/5778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2020-08-21T15:52:00Z</dcterms:created>
  <dcterms:modified xsi:type="dcterms:W3CDTF">2020-08-21T15:52:00Z</dcterms:modified>
</cp:coreProperties>
</file>